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DE" w:rsidRDefault="0084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C4003">
        <w:rPr>
          <w:rFonts w:ascii="Times New Roman" w:hAnsi="Times New Roman" w:cs="Times New Roman"/>
          <w:b/>
          <w:sz w:val="24"/>
          <w:szCs w:val="24"/>
        </w:rPr>
        <w:t>Список  новых поступлений</w:t>
      </w:r>
    </w:p>
    <w:p w:rsidR="006C4003" w:rsidRPr="006C4003" w:rsidRDefault="008417DE">
      <w:pPr>
        <w:rPr>
          <w:rFonts w:ascii="Times New Roman" w:hAnsi="Times New Roman" w:cs="Times New Roman"/>
          <w:b/>
          <w:sz w:val="24"/>
          <w:szCs w:val="24"/>
        </w:rPr>
      </w:pPr>
      <w:r w:rsidRPr="006C400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C4003">
        <w:rPr>
          <w:rFonts w:ascii="Times New Roman" w:hAnsi="Times New Roman" w:cs="Times New Roman"/>
          <w:b/>
          <w:sz w:val="24"/>
          <w:szCs w:val="24"/>
        </w:rPr>
        <w:t>Солодовникова</w:t>
      </w:r>
      <w:proofErr w:type="spellEnd"/>
      <w:r w:rsidRPr="006C4003">
        <w:rPr>
          <w:rFonts w:ascii="Times New Roman" w:hAnsi="Times New Roman" w:cs="Times New Roman"/>
          <w:b/>
          <w:sz w:val="24"/>
          <w:szCs w:val="24"/>
        </w:rPr>
        <w:t xml:space="preserve"> У.Н., Коростелева В.В. Сравнительный анализ налогообложения доходов физических лиц в Российской Федерации и Японии.//Менеджмент в России и Японии.-2013.-№ 1.-С. 75-82.</w:t>
      </w:r>
    </w:p>
    <w:p w:rsidR="008417DE" w:rsidRPr="006C4003" w:rsidRDefault="008417DE">
      <w:pPr>
        <w:rPr>
          <w:rFonts w:ascii="Times New Roman" w:hAnsi="Times New Roman" w:cs="Times New Roman"/>
          <w:b/>
          <w:sz w:val="24"/>
          <w:szCs w:val="24"/>
        </w:rPr>
      </w:pPr>
      <w:r w:rsidRPr="006C400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C4003">
        <w:rPr>
          <w:rFonts w:ascii="Times New Roman" w:hAnsi="Times New Roman" w:cs="Times New Roman"/>
          <w:b/>
          <w:sz w:val="24"/>
          <w:szCs w:val="24"/>
        </w:rPr>
        <w:t>Солодилова</w:t>
      </w:r>
      <w:proofErr w:type="spellEnd"/>
      <w:r w:rsidRPr="006C4003">
        <w:rPr>
          <w:rFonts w:ascii="Times New Roman" w:hAnsi="Times New Roman" w:cs="Times New Roman"/>
          <w:b/>
          <w:sz w:val="24"/>
          <w:szCs w:val="24"/>
        </w:rPr>
        <w:t xml:space="preserve"> Н., Маликов Р., </w:t>
      </w:r>
      <w:proofErr w:type="spellStart"/>
      <w:r w:rsidRPr="006C4003">
        <w:rPr>
          <w:rFonts w:ascii="Times New Roman" w:hAnsi="Times New Roman" w:cs="Times New Roman"/>
          <w:b/>
          <w:sz w:val="24"/>
          <w:szCs w:val="24"/>
        </w:rPr>
        <w:t>Сабирова</w:t>
      </w:r>
      <w:proofErr w:type="spellEnd"/>
      <w:r w:rsidRPr="006C4003">
        <w:rPr>
          <w:rFonts w:ascii="Times New Roman" w:hAnsi="Times New Roman" w:cs="Times New Roman"/>
          <w:b/>
          <w:sz w:val="24"/>
          <w:szCs w:val="24"/>
        </w:rPr>
        <w:t xml:space="preserve"> Р. Формирование инструментария инфраструктурного сопровождения предпринимательской активности.//Общество и экономика.-2013.-№ 1-2.-С. 188-200.</w:t>
      </w:r>
    </w:p>
    <w:p w:rsidR="008417DE" w:rsidRDefault="0084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рассматривается роль инфраструктуры в развитии предпринимательства. Проведен анализ состояния и перспектив существующей системы инфраструктурного обеспечения предпринимательской деятельности. Представлена модель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потенциальной полезности участия субъекта предпринимательства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формировании инфраструктурных ресурсов.</w:t>
      </w:r>
    </w:p>
    <w:p w:rsidR="008417DE" w:rsidRPr="006C4003" w:rsidRDefault="008417DE">
      <w:pPr>
        <w:rPr>
          <w:rFonts w:ascii="Times New Roman" w:hAnsi="Times New Roman" w:cs="Times New Roman"/>
          <w:b/>
          <w:sz w:val="24"/>
          <w:szCs w:val="24"/>
        </w:rPr>
      </w:pPr>
      <w:r w:rsidRPr="006C4003">
        <w:rPr>
          <w:rFonts w:ascii="Times New Roman" w:hAnsi="Times New Roman" w:cs="Times New Roman"/>
          <w:b/>
          <w:sz w:val="24"/>
          <w:szCs w:val="24"/>
        </w:rPr>
        <w:t>3.</w:t>
      </w:r>
      <w:r w:rsidR="00C41976" w:rsidRPr="006C4003">
        <w:rPr>
          <w:rFonts w:ascii="Times New Roman" w:hAnsi="Times New Roman" w:cs="Times New Roman"/>
          <w:b/>
          <w:sz w:val="24"/>
          <w:szCs w:val="24"/>
        </w:rPr>
        <w:t>Юшкин С.Н. Специфика бюджетных рисков территории и пути их минимизации.//Актуальные проблемы экономики и права.-2013.-№ 1.-С.189-194.</w:t>
      </w:r>
    </w:p>
    <w:p w:rsidR="00C41976" w:rsidRDefault="00C4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рассмотрены предпосылки возникновения бюджетных рисков, последствия их реализации для параметров местного бюджета. Дано авторское определение бюджетного риска. Сформулирован алгоритм проведения управленческих мероприятий по минимизации рисков с учетом особенностей бюджетной деятельности, предложена модель ситуационного управления бюджетными рисками.</w:t>
      </w:r>
    </w:p>
    <w:p w:rsidR="00C41976" w:rsidRPr="006C4003" w:rsidRDefault="00943B00">
      <w:pPr>
        <w:rPr>
          <w:rFonts w:ascii="Times New Roman" w:hAnsi="Times New Roman" w:cs="Times New Roman"/>
          <w:b/>
          <w:sz w:val="24"/>
          <w:szCs w:val="24"/>
        </w:rPr>
      </w:pPr>
      <w:r w:rsidRPr="006C4003">
        <w:rPr>
          <w:rFonts w:ascii="Times New Roman" w:hAnsi="Times New Roman" w:cs="Times New Roman"/>
          <w:b/>
          <w:sz w:val="24"/>
          <w:szCs w:val="24"/>
        </w:rPr>
        <w:t>4. Важенина Т. Целевые программы как инструмент государственного регулирования регионального развития.//Предпринимательство.-2013.-№ 1.-С. 116-123.</w:t>
      </w:r>
    </w:p>
    <w:p w:rsidR="00943B00" w:rsidRDefault="00943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рассмотрено ключевое определение термина «целевая программа». Дана классификация региональных программ. Раскрыта сущность программно-целевого подхода. Проанализирован опыт регионального программирования в России и за рубежом. Особое внимание уделено современной практике регионального программирования.</w:t>
      </w:r>
    </w:p>
    <w:p w:rsidR="00943B00" w:rsidRPr="006C4003" w:rsidRDefault="00943B00">
      <w:pPr>
        <w:rPr>
          <w:rFonts w:ascii="Times New Roman" w:hAnsi="Times New Roman" w:cs="Times New Roman"/>
          <w:b/>
          <w:sz w:val="24"/>
          <w:szCs w:val="24"/>
        </w:rPr>
      </w:pPr>
      <w:r w:rsidRPr="006C4003">
        <w:rPr>
          <w:rFonts w:ascii="Times New Roman" w:hAnsi="Times New Roman" w:cs="Times New Roman"/>
          <w:b/>
          <w:sz w:val="24"/>
          <w:szCs w:val="24"/>
        </w:rPr>
        <w:t>5.Акопян О.А. Государственные инвестиции как основная форма поддержки промышленных предприятий.//Законодательство и экономика.-2013.-№ 2.-С. 17-29.</w:t>
      </w:r>
    </w:p>
    <w:p w:rsidR="00943B00" w:rsidRDefault="00943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статьи обосновывает необходимость консолидации усилий государства и частных инвесторов в инвестиционной сфере, анализирует существующие формы государственной поддержки предпринимательства и их недостатки, предлагает новые подходы в организации инвестиционной деятельности российского государства.</w:t>
      </w:r>
    </w:p>
    <w:p w:rsidR="00943B00" w:rsidRPr="006C4003" w:rsidRDefault="00943B00">
      <w:pPr>
        <w:rPr>
          <w:rFonts w:ascii="Times New Roman" w:hAnsi="Times New Roman" w:cs="Times New Roman"/>
          <w:b/>
          <w:sz w:val="24"/>
          <w:szCs w:val="24"/>
        </w:rPr>
      </w:pPr>
      <w:r w:rsidRPr="006C4003">
        <w:rPr>
          <w:rFonts w:ascii="Times New Roman" w:hAnsi="Times New Roman" w:cs="Times New Roman"/>
          <w:b/>
          <w:sz w:val="24"/>
          <w:szCs w:val="24"/>
        </w:rPr>
        <w:t>6.</w:t>
      </w:r>
      <w:r w:rsidR="003100CA" w:rsidRPr="006C4003">
        <w:rPr>
          <w:rFonts w:ascii="Times New Roman" w:hAnsi="Times New Roman" w:cs="Times New Roman"/>
          <w:b/>
          <w:sz w:val="24"/>
          <w:szCs w:val="24"/>
        </w:rPr>
        <w:t xml:space="preserve"> Яшина Н.И., </w:t>
      </w:r>
      <w:proofErr w:type="spellStart"/>
      <w:r w:rsidR="003100CA" w:rsidRPr="006C4003">
        <w:rPr>
          <w:rFonts w:ascii="Times New Roman" w:hAnsi="Times New Roman" w:cs="Times New Roman"/>
          <w:b/>
          <w:sz w:val="24"/>
          <w:szCs w:val="24"/>
        </w:rPr>
        <w:t>Пощева</w:t>
      </w:r>
      <w:proofErr w:type="spellEnd"/>
      <w:r w:rsidR="003100CA" w:rsidRPr="006C4003">
        <w:rPr>
          <w:rFonts w:ascii="Times New Roman" w:hAnsi="Times New Roman" w:cs="Times New Roman"/>
          <w:b/>
          <w:sz w:val="24"/>
          <w:szCs w:val="24"/>
        </w:rPr>
        <w:t xml:space="preserve"> Е.В., </w:t>
      </w:r>
      <w:proofErr w:type="spellStart"/>
      <w:r w:rsidR="003100CA" w:rsidRPr="006C4003">
        <w:rPr>
          <w:rFonts w:ascii="Times New Roman" w:hAnsi="Times New Roman" w:cs="Times New Roman"/>
          <w:b/>
          <w:sz w:val="24"/>
          <w:szCs w:val="24"/>
        </w:rPr>
        <w:t>Прончатова-Рубцова</w:t>
      </w:r>
      <w:proofErr w:type="spellEnd"/>
      <w:r w:rsidR="003100CA" w:rsidRPr="006C4003">
        <w:rPr>
          <w:rFonts w:ascii="Times New Roman" w:hAnsi="Times New Roman" w:cs="Times New Roman"/>
          <w:b/>
          <w:sz w:val="24"/>
          <w:szCs w:val="24"/>
        </w:rPr>
        <w:t xml:space="preserve"> Н.Н. Совершенствование методологии определения бюджетной устойчивости субъектов РФ: два подхода к оценке в современных социально-экономических условиях.//Финансы и кредит.-2013.-№ 11.-С. 2-11.</w:t>
      </w:r>
    </w:p>
    <w:p w:rsidR="003100CA" w:rsidRDefault="00310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представлено авторское исследование особенности бюджетов субъектов РФ посредством системы критериев оценки бюджетной устойчивости. Предложено два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способа стандартизации показателей бюджетной устойчивости для приведения их к сопоставимому виду, и соответственно, два варианта оценки бюджетной субъектов РФ на основе комплексного показателя. Близость полученных разными способами результатов подтверждает точность и объективность анализа, что позволяет руководствоваться этими оценками в целях повышения эффективности управления бюджетами субъектов РФ.</w:t>
      </w:r>
    </w:p>
    <w:p w:rsidR="003100CA" w:rsidRPr="006C4003" w:rsidRDefault="003100CA">
      <w:pPr>
        <w:rPr>
          <w:rFonts w:ascii="Times New Roman" w:hAnsi="Times New Roman" w:cs="Times New Roman"/>
          <w:b/>
          <w:sz w:val="24"/>
          <w:szCs w:val="24"/>
        </w:rPr>
      </w:pPr>
      <w:r w:rsidRPr="006C4003">
        <w:rPr>
          <w:rFonts w:ascii="Times New Roman" w:hAnsi="Times New Roman" w:cs="Times New Roman"/>
          <w:b/>
          <w:sz w:val="24"/>
          <w:szCs w:val="24"/>
        </w:rPr>
        <w:t>7. Истомина Н.А. О бюджетном перераспределении и его роли в социально-экономическом развитии регионов.// Финансы и кредит.-2013.-№ 11.-С.12-19.</w:t>
      </w:r>
    </w:p>
    <w:p w:rsidR="003100CA" w:rsidRDefault="00310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раскрыто</w:t>
      </w:r>
      <w:r w:rsidR="0029148F">
        <w:rPr>
          <w:rFonts w:ascii="Times New Roman" w:hAnsi="Times New Roman" w:cs="Times New Roman"/>
          <w:sz w:val="24"/>
          <w:szCs w:val="24"/>
        </w:rPr>
        <w:t xml:space="preserve"> содержание понятия «бюджетное перераспределение» и описаны его виды: перераспределение между видами экономической деятельности (межвидовое перераспределение), межтерриториальное перераспределение и перераспределение между категориями населения. Выделены объекты и цели каждого вида перераспределения, уточнены особенности на уровне бюджета субъекты Федерации.</w:t>
      </w:r>
    </w:p>
    <w:p w:rsidR="00EC12E4" w:rsidRPr="006C4003" w:rsidRDefault="00EC12E4">
      <w:pPr>
        <w:rPr>
          <w:rFonts w:ascii="Times New Roman" w:hAnsi="Times New Roman" w:cs="Times New Roman"/>
          <w:b/>
          <w:sz w:val="24"/>
          <w:szCs w:val="24"/>
        </w:rPr>
      </w:pPr>
      <w:r w:rsidRPr="006C4003">
        <w:rPr>
          <w:rFonts w:ascii="Times New Roman" w:hAnsi="Times New Roman" w:cs="Times New Roman"/>
          <w:b/>
          <w:sz w:val="24"/>
          <w:szCs w:val="24"/>
        </w:rPr>
        <w:t xml:space="preserve">8. Лавровский Б.Л., </w:t>
      </w:r>
      <w:proofErr w:type="spellStart"/>
      <w:r w:rsidRPr="006C4003">
        <w:rPr>
          <w:rFonts w:ascii="Times New Roman" w:hAnsi="Times New Roman" w:cs="Times New Roman"/>
          <w:b/>
          <w:sz w:val="24"/>
          <w:szCs w:val="24"/>
        </w:rPr>
        <w:t>Мурзов</w:t>
      </w:r>
      <w:proofErr w:type="spellEnd"/>
      <w:r w:rsidRPr="006C4003">
        <w:rPr>
          <w:rFonts w:ascii="Times New Roman" w:hAnsi="Times New Roman" w:cs="Times New Roman"/>
          <w:b/>
          <w:sz w:val="24"/>
          <w:szCs w:val="24"/>
        </w:rPr>
        <w:t xml:space="preserve"> И.А., </w:t>
      </w:r>
      <w:proofErr w:type="spellStart"/>
      <w:r w:rsidRPr="006C4003">
        <w:rPr>
          <w:rFonts w:ascii="Times New Roman" w:hAnsi="Times New Roman" w:cs="Times New Roman"/>
          <w:b/>
          <w:sz w:val="24"/>
          <w:szCs w:val="24"/>
        </w:rPr>
        <w:t>Шильцин</w:t>
      </w:r>
      <w:proofErr w:type="spellEnd"/>
      <w:r w:rsidRPr="006C4003">
        <w:rPr>
          <w:rFonts w:ascii="Times New Roman" w:hAnsi="Times New Roman" w:cs="Times New Roman"/>
          <w:b/>
          <w:sz w:val="24"/>
          <w:szCs w:val="24"/>
        </w:rPr>
        <w:t xml:space="preserve"> Е.А. Тенденции поступления и опыт моделирования сибирских налогов.//Регион: экономика и социология.-2013.-№ 1.-С. 173-187.</w:t>
      </w:r>
    </w:p>
    <w:p w:rsidR="00EC12E4" w:rsidRDefault="00EC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показано, что тенденция к сокращению доли Сибирского федерального округа по отношению ко всем налоговым поступлениям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2009 г. повышательным трендом. Преимущественный рост позволил Сибири по показателю поступлений выходить из кризиса значительно быстрее, чем страна в целом. В работе строятся модели панельных данных с фиксированными эффектами. Оцениваются свойства налогового поля Сибири в связи с пространственными и временными характеристиками.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Выявлено, что в целом за период благоприятной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конъюктуры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2002-2008 гг. налоговая масса возрастает преимущественно за счет экстенсивного фактора, не связанного со структурными сдвигами, но его значение в тенденции сокращается. </w:t>
      </w:r>
      <w:proofErr w:type="gramEnd"/>
      <w:r>
        <w:rPr>
          <w:rFonts w:ascii="Times New Roman" w:hAnsi="Times New Roman" w:cs="Times New Roman"/>
          <w:sz w:val="24"/>
          <w:szCs w:val="24"/>
        </w:rPr>
        <w:t>Соотношение сил принципиально меняется с 2009 г.</w:t>
      </w:r>
    </w:p>
    <w:p w:rsidR="00EC12E4" w:rsidRPr="006C4003" w:rsidRDefault="00EC12E4">
      <w:pPr>
        <w:rPr>
          <w:rFonts w:ascii="Times New Roman" w:hAnsi="Times New Roman" w:cs="Times New Roman"/>
          <w:b/>
          <w:sz w:val="24"/>
          <w:szCs w:val="24"/>
        </w:rPr>
      </w:pPr>
      <w:r w:rsidRPr="006C4003">
        <w:rPr>
          <w:rFonts w:ascii="Times New Roman" w:hAnsi="Times New Roman" w:cs="Times New Roman"/>
          <w:b/>
          <w:sz w:val="24"/>
          <w:szCs w:val="24"/>
        </w:rPr>
        <w:t>9. Френкель А.А, Волкова Н.Н., Романюк Э.И. Влияние весовых коэффициентов на рейтинг регионов по уровню инновационного потенциала.// Регион: экономика и социология.-2013.-№ 1.-С. 144-</w:t>
      </w:r>
      <w:r w:rsidR="006C4003">
        <w:rPr>
          <w:rFonts w:ascii="Times New Roman" w:hAnsi="Times New Roman" w:cs="Times New Roman"/>
          <w:b/>
          <w:sz w:val="24"/>
          <w:szCs w:val="24"/>
        </w:rPr>
        <w:t>172</w:t>
      </w:r>
    </w:p>
    <w:p w:rsidR="00EC12E4" w:rsidRDefault="00C31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методический подход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определению рейтинга регионов по уровню инновационной деятельности и система показателей, на основе которой рассчитываются данные рейтинги. Агрегированный индекс инновационной активности субъектов Федерации рассчитывается с учетом различий в уровне социально-экономического развития, а также с учетом и без учета весовых коэффициентов, полученных на основании матрицы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предпочтений. Анализ результатов показал, что учет весов влияет на положение субъекта Федерации в рейтинге,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регионы, имеющие высокие позиции в одном рейтинге, сохраняют их и в другом.</w:t>
      </w:r>
    </w:p>
    <w:p w:rsidR="00C31F2B" w:rsidRDefault="00C31F2B">
      <w:pPr>
        <w:rPr>
          <w:rFonts w:ascii="Times New Roman" w:hAnsi="Times New Roman" w:cs="Times New Roman"/>
          <w:sz w:val="24"/>
          <w:szCs w:val="24"/>
        </w:rPr>
      </w:pPr>
    </w:p>
    <w:p w:rsidR="003100CA" w:rsidRPr="008417DE" w:rsidRDefault="003100CA">
      <w:pPr>
        <w:rPr>
          <w:rFonts w:ascii="Times New Roman" w:hAnsi="Times New Roman" w:cs="Times New Roman"/>
          <w:sz w:val="24"/>
          <w:szCs w:val="24"/>
        </w:rPr>
      </w:pPr>
    </w:p>
    <w:sectPr w:rsidR="003100CA" w:rsidRPr="008417DE" w:rsidSect="0079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417DE"/>
    <w:rsid w:val="00225DB8"/>
    <w:rsid w:val="0029148F"/>
    <w:rsid w:val="003100CA"/>
    <w:rsid w:val="00536ECD"/>
    <w:rsid w:val="006C4003"/>
    <w:rsid w:val="00796FE5"/>
    <w:rsid w:val="008417DE"/>
    <w:rsid w:val="00943B00"/>
    <w:rsid w:val="009F07D8"/>
    <w:rsid w:val="00C31F2B"/>
    <w:rsid w:val="00C41976"/>
    <w:rsid w:val="00EC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2013-04-18T12:45:00Z</dcterms:created>
  <dcterms:modified xsi:type="dcterms:W3CDTF">2013-04-18T12:45:00Z</dcterms:modified>
</cp:coreProperties>
</file>